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DD54" w14:textId="77777777" w:rsidR="00D95EC5" w:rsidRPr="00846330" w:rsidRDefault="00D95EC5" w:rsidP="00846330">
      <w:pPr>
        <w:jc w:val="center"/>
        <w:rPr>
          <w:rFonts w:ascii="Segoe UI" w:hAnsi="Segoe UI" w:cs="Segoe UI"/>
          <w:b/>
          <w:sz w:val="28"/>
          <w:szCs w:val="28"/>
        </w:rPr>
      </w:pPr>
      <w:r w:rsidRPr="00846330">
        <w:rPr>
          <w:rFonts w:ascii="Segoe UI" w:hAnsi="Segoe UI" w:cs="Segoe UI"/>
          <w:b/>
          <w:sz w:val="28"/>
          <w:szCs w:val="28"/>
        </w:rPr>
        <w:t>Appendix A</w:t>
      </w:r>
    </w:p>
    <w:p w14:paraId="26F1C26C" w14:textId="77777777" w:rsidR="00036F67" w:rsidRPr="005E178E" w:rsidRDefault="00036F67" w:rsidP="00846330">
      <w:pPr>
        <w:jc w:val="center"/>
        <w:rPr>
          <w:rFonts w:ascii="Segoe UI" w:hAnsi="Segoe UI" w:cs="Segoe UI"/>
        </w:rPr>
      </w:pPr>
    </w:p>
    <w:p w14:paraId="23BC7A16" w14:textId="15BD7347" w:rsidR="00DC3320" w:rsidRPr="00846330" w:rsidRDefault="002D775C" w:rsidP="00846330">
      <w:pPr>
        <w:jc w:val="center"/>
        <w:rPr>
          <w:rFonts w:ascii="Segoe UI" w:hAnsi="Segoe UI" w:cs="Segoe UI"/>
          <w:b/>
          <w:sz w:val="36"/>
          <w:szCs w:val="36"/>
        </w:rPr>
      </w:pPr>
      <w:r w:rsidRPr="00846330">
        <w:rPr>
          <w:rFonts w:ascii="Segoe UI" w:hAnsi="Segoe UI" w:cs="Segoe UI"/>
          <w:b/>
          <w:sz w:val="36"/>
          <w:szCs w:val="36"/>
        </w:rPr>
        <w:t>REGIONAL HOUSING PLAN</w:t>
      </w:r>
      <w:r w:rsidR="00184DB0" w:rsidRPr="00846330">
        <w:rPr>
          <w:rFonts w:ascii="Segoe UI" w:hAnsi="Segoe UI" w:cs="Segoe UI"/>
          <w:b/>
          <w:sz w:val="36"/>
          <w:szCs w:val="36"/>
        </w:rPr>
        <w:t>:</w:t>
      </w:r>
      <w:r w:rsidR="00846330">
        <w:rPr>
          <w:rFonts w:ascii="Segoe UI" w:hAnsi="Segoe UI" w:cs="Segoe UI"/>
          <w:b/>
          <w:sz w:val="36"/>
          <w:szCs w:val="36"/>
        </w:rPr>
        <w:br/>
      </w:r>
      <w:r w:rsidR="00D84922" w:rsidRPr="00846330">
        <w:rPr>
          <w:rFonts w:ascii="Segoe UI" w:hAnsi="Segoe UI" w:cs="Segoe UI"/>
          <w:b/>
          <w:sz w:val="36"/>
          <w:szCs w:val="36"/>
        </w:rPr>
        <w:t>JOB/HOUSING BALANCE</w:t>
      </w:r>
      <w:r w:rsidR="00304F59" w:rsidRPr="00846330">
        <w:rPr>
          <w:rFonts w:ascii="Segoe UI" w:hAnsi="Segoe UI" w:cs="Segoe UI"/>
          <w:b/>
          <w:sz w:val="36"/>
          <w:szCs w:val="36"/>
        </w:rPr>
        <w:t xml:space="preserve"> ANALYSIS</w:t>
      </w:r>
    </w:p>
    <w:p w14:paraId="33C28B20" w14:textId="1FFC2218" w:rsidR="00881CC2" w:rsidRDefault="00881CC2" w:rsidP="00846330">
      <w:pPr>
        <w:jc w:val="center"/>
        <w:rPr>
          <w:rFonts w:ascii="Segoe UI" w:hAnsi="Segoe UI" w:cs="Segoe UI"/>
          <w:sz w:val="20"/>
          <w:szCs w:val="18"/>
        </w:rPr>
      </w:pPr>
    </w:p>
    <w:p w14:paraId="26B4A825" w14:textId="7BA35A78" w:rsidR="00846330" w:rsidRDefault="00846330" w:rsidP="00846330">
      <w:pPr>
        <w:jc w:val="center"/>
        <w:rPr>
          <w:rFonts w:ascii="Segoe UI" w:hAnsi="Segoe UI" w:cs="Segoe UI"/>
          <w:sz w:val="20"/>
          <w:szCs w:val="18"/>
        </w:rPr>
      </w:pPr>
    </w:p>
    <w:p w14:paraId="44D2B54A" w14:textId="77777777" w:rsidR="00846330" w:rsidRPr="00A2483E" w:rsidRDefault="00846330" w:rsidP="00846330">
      <w:pPr>
        <w:jc w:val="center"/>
        <w:rPr>
          <w:rFonts w:ascii="Segoe UI" w:hAnsi="Segoe UI" w:cs="Segoe UI"/>
          <w:sz w:val="20"/>
          <w:szCs w:val="18"/>
        </w:rPr>
      </w:pPr>
    </w:p>
    <w:p w14:paraId="0AC7DAEA" w14:textId="19FAD9DD" w:rsidR="00D95EC5" w:rsidRPr="00FC5A0C" w:rsidRDefault="00D95EC5" w:rsidP="00F70EFD">
      <w:pPr>
        <w:jc w:val="both"/>
        <w:rPr>
          <w:rFonts w:ascii="Segoe UI" w:hAnsi="Segoe UI" w:cs="Segoe UI"/>
          <w:sz w:val="20"/>
          <w:szCs w:val="18"/>
        </w:rPr>
      </w:pPr>
      <w:r w:rsidRPr="00FC5A0C">
        <w:rPr>
          <w:rFonts w:ascii="Segoe UI" w:hAnsi="Segoe UI" w:cs="Segoe UI"/>
          <w:sz w:val="20"/>
          <w:szCs w:val="18"/>
        </w:rPr>
        <w:t xml:space="preserve">On March 13, 2013, the Regional Planning Commission adopted a regional housing plan for the seven-county Southeastern Wisconsin Region. That plan is documented in SEWRPC Planning Report No. 54, </w:t>
      </w:r>
      <w:r w:rsidRPr="00FC5A0C">
        <w:rPr>
          <w:rFonts w:ascii="Segoe UI" w:hAnsi="Segoe UI" w:cs="Segoe UI"/>
          <w:i/>
          <w:sz w:val="20"/>
          <w:szCs w:val="18"/>
        </w:rPr>
        <w:t>A Regional Housing Plan for Southeastern Wisconsin</w:t>
      </w:r>
      <w:r w:rsidRPr="00FC5A0C">
        <w:rPr>
          <w:rFonts w:ascii="Segoe UI" w:hAnsi="Segoe UI" w:cs="Segoe UI"/>
          <w:sz w:val="20"/>
          <w:szCs w:val="18"/>
        </w:rPr>
        <w:t>, dated March 2013.</w:t>
      </w:r>
      <w:r w:rsidR="002D775C" w:rsidRPr="00FC5A0C">
        <w:rPr>
          <w:rFonts w:ascii="Segoe UI" w:hAnsi="Segoe UI" w:cs="Segoe UI"/>
          <w:sz w:val="20"/>
          <w:szCs w:val="18"/>
        </w:rPr>
        <w:t xml:space="preserve"> The plan addresses a range of housing issues</w:t>
      </w:r>
      <w:r w:rsidR="00E52E2C" w:rsidRPr="00FC5A0C">
        <w:rPr>
          <w:rFonts w:ascii="Segoe UI" w:hAnsi="Segoe UI" w:cs="Segoe UI"/>
          <w:sz w:val="20"/>
          <w:szCs w:val="18"/>
        </w:rPr>
        <w:t xml:space="preserve"> and concerns</w:t>
      </w:r>
      <w:r w:rsidR="002D775C" w:rsidRPr="00FC5A0C">
        <w:rPr>
          <w:rFonts w:ascii="Segoe UI" w:hAnsi="Segoe UI" w:cs="Segoe UI"/>
          <w:sz w:val="20"/>
          <w:szCs w:val="18"/>
        </w:rPr>
        <w:t xml:space="preserve">, including the balance between </w:t>
      </w:r>
      <w:r w:rsidR="00304F59" w:rsidRPr="00FC5A0C">
        <w:rPr>
          <w:rFonts w:ascii="Segoe UI" w:hAnsi="Segoe UI" w:cs="Segoe UI"/>
          <w:sz w:val="20"/>
          <w:szCs w:val="18"/>
        </w:rPr>
        <w:t xml:space="preserve">jobs and </w:t>
      </w:r>
      <w:r w:rsidR="002D775C" w:rsidRPr="00FC5A0C">
        <w:rPr>
          <w:rFonts w:ascii="Segoe UI" w:hAnsi="Segoe UI" w:cs="Segoe UI"/>
          <w:sz w:val="20"/>
          <w:szCs w:val="18"/>
        </w:rPr>
        <w:t>housing</w:t>
      </w:r>
      <w:r w:rsidR="00213249" w:rsidRPr="00FC5A0C">
        <w:rPr>
          <w:rFonts w:ascii="Segoe UI" w:hAnsi="Segoe UI" w:cs="Segoe UI"/>
          <w:sz w:val="20"/>
          <w:szCs w:val="18"/>
        </w:rPr>
        <w:t xml:space="preserve"> throughout the Region</w:t>
      </w:r>
      <w:r w:rsidR="002D775C" w:rsidRPr="00FC5A0C">
        <w:rPr>
          <w:rFonts w:ascii="Segoe UI" w:hAnsi="Segoe UI" w:cs="Segoe UI"/>
          <w:sz w:val="20"/>
          <w:szCs w:val="18"/>
        </w:rPr>
        <w:t xml:space="preserve">. The plan includes </w:t>
      </w:r>
      <w:r w:rsidR="002249FA" w:rsidRPr="00FC5A0C">
        <w:rPr>
          <w:rFonts w:ascii="Segoe UI" w:hAnsi="Segoe UI" w:cs="Segoe UI"/>
          <w:sz w:val="20"/>
          <w:szCs w:val="18"/>
        </w:rPr>
        <w:t>a</w:t>
      </w:r>
      <w:r w:rsidR="00094CB1" w:rsidRPr="00FC5A0C">
        <w:rPr>
          <w:rFonts w:ascii="Segoe UI" w:hAnsi="Segoe UI" w:cs="Segoe UI"/>
          <w:sz w:val="20"/>
          <w:szCs w:val="18"/>
        </w:rPr>
        <w:t xml:space="preserve"> generalized</w:t>
      </w:r>
      <w:r w:rsidR="002249FA" w:rsidRPr="00FC5A0C">
        <w:rPr>
          <w:rFonts w:ascii="Segoe UI" w:hAnsi="Segoe UI" w:cs="Segoe UI"/>
          <w:sz w:val="20"/>
          <w:szCs w:val="18"/>
        </w:rPr>
        <w:t xml:space="preserve"> analysis of the </w:t>
      </w:r>
      <w:r w:rsidR="00213249" w:rsidRPr="00FC5A0C">
        <w:rPr>
          <w:rFonts w:ascii="Segoe UI" w:hAnsi="Segoe UI" w:cs="Segoe UI"/>
          <w:sz w:val="20"/>
          <w:szCs w:val="18"/>
        </w:rPr>
        <w:t>“job</w:t>
      </w:r>
      <w:r w:rsidR="00D84922" w:rsidRPr="00FC5A0C">
        <w:rPr>
          <w:rFonts w:ascii="Segoe UI" w:hAnsi="Segoe UI" w:cs="Segoe UI"/>
          <w:sz w:val="20"/>
          <w:szCs w:val="18"/>
        </w:rPr>
        <w:t>/</w:t>
      </w:r>
      <w:r w:rsidR="00213249" w:rsidRPr="00FC5A0C">
        <w:rPr>
          <w:rFonts w:ascii="Segoe UI" w:hAnsi="Segoe UI" w:cs="Segoe UI"/>
          <w:sz w:val="20"/>
          <w:szCs w:val="18"/>
        </w:rPr>
        <w:t>housing balance” for subareas of the Region</w:t>
      </w:r>
      <w:r w:rsidR="00D84922" w:rsidRPr="00FC5A0C">
        <w:rPr>
          <w:rFonts w:ascii="Segoe UI" w:hAnsi="Segoe UI" w:cs="Segoe UI"/>
          <w:sz w:val="20"/>
          <w:szCs w:val="18"/>
        </w:rPr>
        <w:t>.</w:t>
      </w:r>
      <w:r w:rsidR="002249FA" w:rsidRPr="00FC5A0C">
        <w:rPr>
          <w:rFonts w:ascii="Segoe UI" w:hAnsi="Segoe UI" w:cs="Segoe UI"/>
          <w:sz w:val="20"/>
          <w:szCs w:val="18"/>
        </w:rPr>
        <w:t xml:space="preserve"> The regional housing plan recommends </w:t>
      </w:r>
      <w:r w:rsidR="00507D32">
        <w:rPr>
          <w:rFonts w:ascii="Segoe UI" w:hAnsi="Segoe UI" w:cs="Segoe UI"/>
          <w:sz w:val="20"/>
          <w:szCs w:val="18"/>
        </w:rPr>
        <w:t>providing</w:t>
      </w:r>
      <w:r w:rsidR="00507D32" w:rsidRPr="00FC5A0C">
        <w:rPr>
          <w:rFonts w:ascii="Segoe UI" w:hAnsi="Segoe UI" w:cs="Segoe UI"/>
          <w:sz w:val="20"/>
          <w:szCs w:val="18"/>
        </w:rPr>
        <w:t xml:space="preserve"> </w:t>
      </w:r>
      <w:r w:rsidR="002249FA" w:rsidRPr="00FC5A0C">
        <w:rPr>
          <w:rFonts w:ascii="Segoe UI" w:hAnsi="Segoe UI" w:cs="Segoe UI"/>
          <w:sz w:val="20"/>
          <w:szCs w:val="18"/>
        </w:rPr>
        <w:t xml:space="preserve">the findings of the job-housing analysis to communities </w:t>
      </w:r>
      <w:r w:rsidR="00094CB1" w:rsidRPr="00FC5A0C">
        <w:rPr>
          <w:rFonts w:ascii="Segoe UI" w:hAnsi="Segoe UI" w:cs="Segoe UI"/>
          <w:sz w:val="20"/>
          <w:szCs w:val="18"/>
        </w:rPr>
        <w:t>seeking to amend their sanitary sewer service areas</w:t>
      </w:r>
      <w:r w:rsidR="001C66F3" w:rsidRPr="00FC5A0C">
        <w:rPr>
          <w:rFonts w:ascii="Segoe UI" w:hAnsi="Segoe UI" w:cs="Segoe UI"/>
          <w:sz w:val="20"/>
          <w:szCs w:val="18"/>
        </w:rPr>
        <w:t>, with the intent to inform communities of any job/housing imbalance, and to encourage them to consider addressing the imbalance when they review and update their community comprehensive plan and zoning ordinance. Accordingly, the findings of that analysis are summarized in this appendix</w:t>
      </w:r>
      <w:r w:rsidR="00094CB1" w:rsidRPr="00FC5A0C">
        <w:rPr>
          <w:rFonts w:ascii="Segoe UI" w:hAnsi="Segoe UI" w:cs="Segoe UI"/>
          <w:sz w:val="20"/>
          <w:szCs w:val="18"/>
        </w:rPr>
        <w:t>.</w:t>
      </w:r>
    </w:p>
    <w:p w14:paraId="30260AA4" w14:textId="77777777" w:rsidR="00094CB1" w:rsidRPr="00FC5A0C" w:rsidRDefault="00094CB1" w:rsidP="00F70EFD">
      <w:pPr>
        <w:jc w:val="both"/>
        <w:rPr>
          <w:rFonts w:ascii="Segoe UI" w:hAnsi="Segoe UI" w:cs="Segoe UI"/>
          <w:sz w:val="20"/>
          <w:szCs w:val="18"/>
        </w:rPr>
      </w:pPr>
    </w:p>
    <w:p w14:paraId="3E7301EE" w14:textId="272886C5" w:rsidR="00FA3601" w:rsidRPr="00FC5A0C" w:rsidRDefault="008C46D9" w:rsidP="00F70EFD">
      <w:pPr>
        <w:jc w:val="both"/>
        <w:rPr>
          <w:rFonts w:ascii="Segoe UI" w:hAnsi="Segoe UI" w:cs="Segoe UI"/>
          <w:sz w:val="20"/>
          <w:szCs w:val="18"/>
        </w:rPr>
      </w:pPr>
      <w:r w:rsidRPr="00FC5A0C">
        <w:rPr>
          <w:rFonts w:ascii="Segoe UI" w:hAnsi="Segoe UI" w:cs="Segoe UI"/>
          <w:sz w:val="20"/>
          <w:szCs w:val="18"/>
        </w:rPr>
        <w:t xml:space="preserve">The job/housing analysis </w:t>
      </w:r>
      <w:r w:rsidR="0032232D" w:rsidRPr="00FC5A0C">
        <w:rPr>
          <w:rFonts w:ascii="Segoe UI" w:hAnsi="Segoe UI" w:cs="Segoe UI"/>
          <w:sz w:val="20"/>
          <w:szCs w:val="18"/>
        </w:rPr>
        <w:t xml:space="preserve">conducted under the regional housing study </w:t>
      </w:r>
      <w:r w:rsidRPr="00FC5A0C">
        <w:rPr>
          <w:rFonts w:ascii="Segoe UI" w:hAnsi="Segoe UI" w:cs="Segoe UI"/>
          <w:sz w:val="20"/>
          <w:szCs w:val="18"/>
        </w:rPr>
        <w:t>examined the relati</w:t>
      </w:r>
      <w:r w:rsidR="006D6B95" w:rsidRPr="00FC5A0C">
        <w:rPr>
          <w:rFonts w:ascii="Segoe UI" w:hAnsi="Segoe UI" w:cs="Segoe UI"/>
          <w:sz w:val="20"/>
          <w:szCs w:val="18"/>
        </w:rPr>
        <w:t xml:space="preserve">onship between jobs and housing that would exist </w:t>
      </w:r>
      <w:r w:rsidRPr="00FC5A0C">
        <w:rPr>
          <w:rFonts w:ascii="Segoe UI" w:hAnsi="Segoe UI" w:cs="Segoe UI"/>
          <w:sz w:val="20"/>
          <w:szCs w:val="18"/>
        </w:rPr>
        <w:t xml:space="preserve">in areas </w:t>
      </w:r>
      <w:r w:rsidR="001C66F3" w:rsidRPr="00FC5A0C">
        <w:rPr>
          <w:rFonts w:ascii="Segoe UI" w:hAnsi="Segoe UI" w:cs="Segoe UI"/>
          <w:sz w:val="20"/>
          <w:szCs w:val="18"/>
        </w:rPr>
        <w:t>planned by local governments to be served by a public sanitary system, assuming implementation of adopted long-range comprehensive plans for those areas.</w:t>
      </w:r>
      <w:r w:rsidR="0032232D" w:rsidRPr="00FC5A0C">
        <w:rPr>
          <w:rFonts w:ascii="Segoe UI" w:hAnsi="Segoe UI" w:cs="Segoe UI"/>
          <w:sz w:val="20"/>
          <w:szCs w:val="18"/>
        </w:rPr>
        <w:t xml:space="preserve"> </w:t>
      </w:r>
      <w:r w:rsidR="001C66F3" w:rsidRPr="00FC5A0C">
        <w:rPr>
          <w:rFonts w:ascii="Segoe UI" w:hAnsi="Segoe UI" w:cs="Segoe UI"/>
          <w:sz w:val="20"/>
          <w:szCs w:val="18"/>
        </w:rPr>
        <w:t>For each sewered community, the analysis compared the projected relative shares of lower-cost, moderate-cost, and higher-cost</w:t>
      </w:r>
      <w:r w:rsidR="00FB0496" w:rsidRPr="00FC5A0C">
        <w:rPr>
          <w:rFonts w:ascii="Segoe UI" w:hAnsi="Segoe UI" w:cs="Segoe UI"/>
          <w:sz w:val="20"/>
          <w:szCs w:val="18"/>
        </w:rPr>
        <w:t xml:space="preserve"> housing</w:t>
      </w:r>
      <w:r w:rsidR="00FA3601" w:rsidRPr="00DD2F25">
        <w:rPr>
          <w:rStyle w:val="FootnoteReference"/>
          <w:rFonts w:ascii="Segoe UI" w:hAnsi="Segoe UI" w:cs="Segoe UI"/>
          <w:sz w:val="18"/>
          <w:szCs w:val="16"/>
        </w:rPr>
        <w:footnoteReference w:id="1"/>
      </w:r>
      <w:r w:rsidR="00FB0496" w:rsidRPr="00FC5A0C">
        <w:rPr>
          <w:rFonts w:ascii="Segoe UI" w:hAnsi="Segoe UI" w:cs="Segoe UI"/>
          <w:sz w:val="20"/>
          <w:szCs w:val="18"/>
        </w:rPr>
        <w:t xml:space="preserve"> with </w:t>
      </w:r>
      <w:r w:rsidR="004C62C7" w:rsidRPr="00FC5A0C">
        <w:rPr>
          <w:rFonts w:ascii="Segoe UI" w:hAnsi="Segoe UI" w:cs="Segoe UI"/>
          <w:sz w:val="20"/>
          <w:szCs w:val="18"/>
        </w:rPr>
        <w:t xml:space="preserve">the projected relative shares of </w:t>
      </w:r>
      <w:r w:rsidR="00FB0496" w:rsidRPr="00FC5A0C">
        <w:rPr>
          <w:rFonts w:ascii="Segoe UI" w:hAnsi="Segoe UI" w:cs="Segoe UI"/>
          <w:sz w:val="20"/>
          <w:szCs w:val="18"/>
        </w:rPr>
        <w:t>lower-wage, moderate-wage, and higher-wage jobs,</w:t>
      </w:r>
      <w:r w:rsidR="00FA3601" w:rsidRPr="00DD2F25">
        <w:rPr>
          <w:rStyle w:val="FootnoteReference"/>
          <w:rFonts w:ascii="Segoe UI" w:hAnsi="Segoe UI" w:cs="Segoe UI"/>
          <w:sz w:val="18"/>
          <w:szCs w:val="16"/>
        </w:rPr>
        <w:footnoteReference w:id="2"/>
      </w:r>
      <w:r w:rsidR="00FB0496" w:rsidRPr="00FC5A0C">
        <w:rPr>
          <w:rFonts w:ascii="Segoe UI" w:hAnsi="Segoe UI" w:cs="Segoe UI"/>
          <w:sz w:val="20"/>
          <w:szCs w:val="18"/>
        </w:rPr>
        <w:t xml:space="preserve"> res</w:t>
      </w:r>
      <w:r w:rsidR="00CA6887" w:rsidRPr="00FC5A0C">
        <w:rPr>
          <w:rFonts w:ascii="Segoe UI" w:hAnsi="Segoe UI" w:cs="Segoe UI"/>
          <w:sz w:val="20"/>
          <w:szCs w:val="18"/>
        </w:rPr>
        <w:t>pectivel</w:t>
      </w:r>
      <w:r w:rsidR="001C66F3" w:rsidRPr="00FC5A0C">
        <w:rPr>
          <w:rFonts w:ascii="Segoe UI" w:hAnsi="Segoe UI" w:cs="Segoe UI"/>
          <w:sz w:val="20"/>
          <w:szCs w:val="18"/>
        </w:rPr>
        <w:t>y. Job/housing imbalances identified under this analysis are indicated on Map A</w:t>
      </w:r>
      <w:r w:rsidR="00846330">
        <w:rPr>
          <w:rFonts w:ascii="Segoe UI" w:hAnsi="Segoe UI" w:cs="Segoe UI"/>
          <w:sz w:val="20"/>
          <w:szCs w:val="18"/>
        </w:rPr>
        <w:t>.</w:t>
      </w:r>
      <w:r w:rsidR="001C66F3" w:rsidRPr="00FC5A0C">
        <w:rPr>
          <w:rFonts w:ascii="Segoe UI" w:hAnsi="Segoe UI" w:cs="Segoe UI"/>
          <w:sz w:val="20"/>
          <w:szCs w:val="18"/>
        </w:rPr>
        <w:t xml:space="preserve">1. </w:t>
      </w:r>
      <w:r w:rsidR="00B3713B" w:rsidRPr="00FC5A0C">
        <w:rPr>
          <w:rFonts w:ascii="Segoe UI" w:hAnsi="Segoe UI" w:cs="Segoe UI"/>
          <w:sz w:val="20"/>
          <w:szCs w:val="18"/>
        </w:rPr>
        <w:t xml:space="preserve">A </w:t>
      </w:r>
      <w:r w:rsidR="004C62C7" w:rsidRPr="00FC5A0C">
        <w:rPr>
          <w:rFonts w:ascii="Segoe UI" w:hAnsi="Segoe UI" w:cs="Segoe UI"/>
          <w:sz w:val="20"/>
          <w:szCs w:val="18"/>
        </w:rPr>
        <w:t>“</w:t>
      </w:r>
      <w:r w:rsidR="00B3713B" w:rsidRPr="00FC5A0C">
        <w:rPr>
          <w:rFonts w:ascii="Segoe UI" w:hAnsi="Segoe UI" w:cs="Segoe UI"/>
          <w:sz w:val="20"/>
          <w:szCs w:val="18"/>
        </w:rPr>
        <w:t>lower-cost</w:t>
      </w:r>
      <w:r w:rsidR="004C62C7" w:rsidRPr="00FC5A0C">
        <w:rPr>
          <w:rFonts w:ascii="Segoe UI" w:hAnsi="Segoe UI" w:cs="Segoe UI"/>
          <w:sz w:val="20"/>
          <w:szCs w:val="18"/>
        </w:rPr>
        <w:t>”</w:t>
      </w:r>
      <w:r w:rsidR="00B3713B" w:rsidRPr="00FC5A0C">
        <w:rPr>
          <w:rFonts w:ascii="Segoe UI" w:hAnsi="Segoe UI" w:cs="Segoe UI"/>
          <w:sz w:val="20"/>
          <w:szCs w:val="18"/>
        </w:rPr>
        <w:t xml:space="preserve"> job/housing imbalance indicates a </w:t>
      </w:r>
      <w:r w:rsidR="009A387B" w:rsidRPr="00FC5A0C">
        <w:rPr>
          <w:rFonts w:ascii="Segoe UI" w:hAnsi="Segoe UI" w:cs="Segoe UI"/>
          <w:sz w:val="20"/>
          <w:szCs w:val="18"/>
        </w:rPr>
        <w:t>community projected to have a higher percentage of lower-wage jobs than lower-cost housing.</w:t>
      </w:r>
      <w:r w:rsidR="00B3713B" w:rsidRPr="00FC5A0C">
        <w:rPr>
          <w:rFonts w:ascii="Segoe UI" w:hAnsi="Segoe UI" w:cs="Segoe UI"/>
          <w:sz w:val="20"/>
          <w:szCs w:val="18"/>
        </w:rPr>
        <w:t xml:space="preserve"> A </w:t>
      </w:r>
      <w:r w:rsidR="004C62C7" w:rsidRPr="00FC5A0C">
        <w:rPr>
          <w:rFonts w:ascii="Segoe UI" w:hAnsi="Segoe UI" w:cs="Segoe UI"/>
          <w:sz w:val="20"/>
          <w:szCs w:val="18"/>
        </w:rPr>
        <w:t>“</w:t>
      </w:r>
      <w:r w:rsidR="00B3713B" w:rsidRPr="00FC5A0C">
        <w:rPr>
          <w:rFonts w:ascii="Segoe UI" w:hAnsi="Segoe UI" w:cs="Segoe UI"/>
          <w:sz w:val="20"/>
          <w:szCs w:val="18"/>
        </w:rPr>
        <w:t>moderate-cost</w:t>
      </w:r>
      <w:r w:rsidR="004C62C7" w:rsidRPr="00FC5A0C">
        <w:rPr>
          <w:rFonts w:ascii="Segoe UI" w:hAnsi="Segoe UI" w:cs="Segoe UI"/>
          <w:sz w:val="20"/>
          <w:szCs w:val="18"/>
        </w:rPr>
        <w:t>”</w:t>
      </w:r>
      <w:r w:rsidR="00B3713B" w:rsidRPr="00FC5A0C">
        <w:rPr>
          <w:rFonts w:ascii="Segoe UI" w:hAnsi="Segoe UI" w:cs="Segoe UI"/>
          <w:sz w:val="20"/>
          <w:szCs w:val="18"/>
        </w:rPr>
        <w:t xml:space="preserve"> job/housing imbalance indicates</w:t>
      </w:r>
      <w:r w:rsidR="00D56F41" w:rsidRPr="00FC5A0C">
        <w:rPr>
          <w:rFonts w:ascii="Segoe UI" w:hAnsi="Segoe UI" w:cs="Segoe UI"/>
          <w:sz w:val="20"/>
          <w:szCs w:val="18"/>
        </w:rPr>
        <w:t xml:space="preserve"> </w:t>
      </w:r>
      <w:r w:rsidR="00B3713B" w:rsidRPr="00FC5A0C">
        <w:rPr>
          <w:rFonts w:ascii="Segoe UI" w:hAnsi="Segoe UI" w:cs="Segoe UI"/>
          <w:sz w:val="20"/>
          <w:szCs w:val="18"/>
        </w:rPr>
        <w:t xml:space="preserve">a </w:t>
      </w:r>
      <w:r w:rsidR="009A387B" w:rsidRPr="00FC5A0C">
        <w:rPr>
          <w:rFonts w:ascii="Segoe UI" w:hAnsi="Segoe UI" w:cs="Segoe UI"/>
          <w:sz w:val="20"/>
          <w:szCs w:val="18"/>
        </w:rPr>
        <w:t>community projected to have a higher percentage of moderate-wage jobs than moderate-cost housing.</w:t>
      </w:r>
    </w:p>
    <w:p w14:paraId="5D1DE4D2" w14:textId="77777777" w:rsidR="004C62C7" w:rsidRPr="00FC5A0C" w:rsidRDefault="004C62C7" w:rsidP="00F70EFD">
      <w:pPr>
        <w:jc w:val="both"/>
        <w:rPr>
          <w:rFonts w:ascii="Segoe UI" w:hAnsi="Segoe UI" w:cs="Segoe UI"/>
          <w:sz w:val="20"/>
          <w:szCs w:val="18"/>
        </w:rPr>
      </w:pPr>
    </w:p>
    <w:p w14:paraId="5EE03291" w14:textId="1365AE3B" w:rsidR="0073068A" w:rsidRPr="00FC5A0C" w:rsidRDefault="004C62C7" w:rsidP="00F70EFD">
      <w:pPr>
        <w:jc w:val="both"/>
        <w:rPr>
          <w:rFonts w:ascii="Segoe UI" w:hAnsi="Segoe UI" w:cs="Segoe UI"/>
          <w:sz w:val="20"/>
          <w:szCs w:val="18"/>
        </w:rPr>
      </w:pPr>
      <w:r w:rsidRPr="00FC5A0C">
        <w:rPr>
          <w:rFonts w:ascii="Segoe UI" w:hAnsi="Segoe UI" w:cs="Segoe UI"/>
          <w:sz w:val="20"/>
          <w:szCs w:val="18"/>
        </w:rPr>
        <w:t>Map A</w:t>
      </w:r>
      <w:r w:rsidR="00846330">
        <w:rPr>
          <w:rFonts w:ascii="Segoe UI" w:hAnsi="Segoe UI" w:cs="Segoe UI"/>
          <w:sz w:val="20"/>
          <w:szCs w:val="18"/>
        </w:rPr>
        <w:t>.</w:t>
      </w:r>
      <w:r w:rsidRPr="00FC5A0C">
        <w:rPr>
          <w:rFonts w:ascii="Segoe UI" w:hAnsi="Segoe UI" w:cs="Segoe UI"/>
          <w:sz w:val="20"/>
          <w:szCs w:val="18"/>
        </w:rPr>
        <w:t>1</w:t>
      </w:r>
      <w:r w:rsidR="009A387B" w:rsidRPr="00FC5A0C">
        <w:rPr>
          <w:rFonts w:ascii="Segoe UI" w:hAnsi="Segoe UI" w:cs="Segoe UI"/>
          <w:sz w:val="20"/>
          <w:szCs w:val="18"/>
        </w:rPr>
        <w:t xml:space="preserve"> shows the </w:t>
      </w:r>
      <w:r w:rsidR="00C67C0A">
        <w:rPr>
          <w:rFonts w:ascii="Segoe UI" w:hAnsi="Segoe UI" w:cs="Segoe UI"/>
          <w:sz w:val="20"/>
          <w:szCs w:val="18"/>
        </w:rPr>
        <w:t>Village of Germantown</w:t>
      </w:r>
      <w:r w:rsidRPr="00FC5A0C">
        <w:rPr>
          <w:rFonts w:ascii="Segoe UI" w:hAnsi="Segoe UI" w:cs="Segoe UI"/>
          <w:sz w:val="20"/>
          <w:szCs w:val="18"/>
        </w:rPr>
        <w:t xml:space="preserve"> </w:t>
      </w:r>
      <w:r w:rsidR="00516AF1" w:rsidRPr="00FC5A0C">
        <w:rPr>
          <w:rFonts w:ascii="Segoe UI" w:hAnsi="Segoe UI" w:cs="Segoe UI"/>
          <w:sz w:val="20"/>
          <w:szCs w:val="18"/>
        </w:rPr>
        <w:t>is</w:t>
      </w:r>
      <w:r w:rsidR="0073068A" w:rsidRPr="00FC5A0C">
        <w:rPr>
          <w:rFonts w:ascii="Segoe UI" w:hAnsi="Segoe UI" w:cs="Segoe UI"/>
          <w:sz w:val="20"/>
          <w:szCs w:val="18"/>
        </w:rPr>
        <w:t xml:space="preserve"> </w:t>
      </w:r>
      <w:r w:rsidR="009A387B" w:rsidRPr="00FC5A0C">
        <w:rPr>
          <w:rFonts w:ascii="Segoe UI" w:hAnsi="Segoe UI" w:cs="Segoe UI"/>
          <w:sz w:val="20"/>
          <w:szCs w:val="18"/>
        </w:rPr>
        <w:t xml:space="preserve">projected to have </w:t>
      </w:r>
      <w:r w:rsidR="00C67C0A">
        <w:rPr>
          <w:rFonts w:ascii="Segoe UI" w:hAnsi="Segoe UI" w:cs="Segoe UI"/>
          <w:sz w:val="20"/>
          <w:szCs w:val="18"/>
        </w:rPr>
        <w:t xml:space="preserve">a </w:t>
      </w:r>
      <w:r w:rsidR="009E48F6" w:rsidRPr="00FC5A0C">
        <w:rPr>
          <w:rFonts w:ascii="Segoe UI" w:hAnsi="Segoe UI" w:cs="Segoe UI"/>
          <w:sz w:val="20"/>
          <w:szCs w:val="18"/>
        </w:rPr>
        <w:t>moderate-cost job/housing imbalance</w:t>
      </w:r>
      <w:r w:rsidR="00516AF1" w:rsidRPr="00FC5A0C">
        <w:rPr>
          <w:rFonts w:ascii="Segoe UI" w:hAnsi="Segoe UI" w:cs="Segoe UI"/>
          <w:sz w:val="20"/>
          <w:szCs w:val="18"/>
        </w:rPr>
        <w:t xml:space="preserve">. </w:t>
      </w:r>
      <w:r w:rsidR="009A387B" w:rsidRPr="00FC5A0C">
        <w:rPr>
          <w:rFonts w:ascii="Segoe UI" w:hAnsi="Segoe UI" w:cs="Segoe UI"/>
          <w:sz w:val="20"/>
          <w:szCs w:val="18"/>
        </w:rPr>
        <w:t xml:space="preserve">The regional housing plan would encourage the </w:t>
      </w:r>
      <w:r w:rsidR="00C67C0A">
        <w:rPr>
          <w:rFonts w:ascii="Segoe UI" w:hAnsi="Segoe UI" w:cs="Segoe UI"/>
          <w:sz w:val="20"/>
          <w:szCs w:val="18"/>
        </w:rPr>
        <w:t>Village</w:t>
      </w:r>
      <w:r w:rsidR="009A387B" w:rsidRPr="00FC5A0C">
        <w:rPr>
          <w:rFonts w:ascii="Segoe UI" w:hAnsi="Segoe UI" w:cs="Segoe UI"/>
          <w:sz w:val="20"/>
          <w:szCs w:val="18"/>
        </w:rPr>
        <w:t xml:space="preserve"> to consider conducting a more detailed job/housing analysis specific to their community, with the community-level analysis considering community-specific wage data and housing price data. The community-specific analysis could also consider the effect of multiple workers in a household, which was not incorporated in the regional-level analysis</w:t>
      </w:r>
      <w:r w:rsidR="00B927FE" w:rsidRPr="00FC5A0C">
        <w:rPr>
          <w:rFonts w:ascii="Segoe UI" w:hAnsi="Segoe UI" w:cs="Segoe UI"/>
          <w:sz w:val="20"/>
          <w:szCs w:val="18"/>
        </w:rPr>
        <w:t>.</w:t>
      </w:r>
    </w:p>
    <w:p w14:paraId="5A00BC31" w14:textId="77777777" w:rsidR="00852213" w:rsidRPr="00FC5A0C" w:rsidRDefault="00852213" w:rsidP="00F70EFD">
      <w:pPr>
        <w:jc w:val="both"/>
        <w:rPr>
          <w:rFonts w:ascii="Segoe UI" w:hAnsi="Segoe UI" w:cs="Segoe UI"/>
          <w:sz w:val="20"/>
          <w:szCs w:val="18"/>
        </w:rPr>
      </w:pPr>
    </w:p>
    <w:p w14:paraId="694083A2" w14:textId="77777777" w:rsidR="0073068A" w:rsidRPr="00F70EFD" w:rsidRDefault="00852213" w:rsidP="00F70EFD">
      <w:pPr>
        <w:jc w:val="both"/>
        <w:rPr>
          <w:rFonts w:ascii="Segoe UI" w:hAnsi="Segoe UI" w:cs="Segoe UI"/>
          <w:spacing w:val="2"/>
          <w:sz w:val="20"/>
          <w:szCs w:val="18"/>
        </w:rPr>
      </w:pPr>
      <w:r w:rsidRPr="00F70EFD">
        <w:rPr>
          <w:rFonts w:ascii="Segoe UI" w:hAnsi="Segoe UI" w:cs="Segoe UI"/>
          <w:spacing w:val="2"/>
          <w:sz w:val="20"/>
          <w:szCs w:val="18"/>
        </w:rPr>
        <w:lastRenderedPageBreak/>
        <w:t xml:space="preserve">The regional housing plan </w:t>
      </w:r>
      <w:r w:rsidR="009A387B" w:rsidRPr="00F70EFD">
        <w:rPr>
          <w:rFonts w:ascii="Segoe UI" w:hAnsi="Segoe UI" w:cs="Segoe UI"/>
          <w:spacing w:val="2"/>
          <w:sz w:val="20"/>
          <w:szCs w:val="18"/>
        </w:rPr>
        <w:t xml:space="preserve">further </w:t>
      </w:r>
      <w:r w:rsidRPr="00F70EFD">
        <w:rPr>
          <w:rFonts w:ascii="Segoe UI" w:hAnsi="Segoe UI" w:cs="Segoe UI"/>
          <w:spacing w:val="2"/>
          <w:sz w:val="20"/>
          <w:szCs w:val="18"/>
        </w:rPr>
        <w:t xml:space="preserve">recommends that communities which are demonstrated to have a job/housing imbalance </w:t>
      </w:r>
      <w:r w:rsidR="009A387B" w:rsidRPr="00F70EFD">
        <w:rPr>
          <w:rFonts w:ascii="Segoe UI" w:hAnsi="Segoe UI" w:cs="Segoe UI"/>
          <w:spacing w:val="2"/>
          <w:sz w:val="20"/>
          <w:szCs w:val="18"/>
        </w:rPr>
        <w:t>following a community-specific analysis consider making changes to their comprehensive plan and zoning ordinance, as appropriate, to enable the provision of housing suitable for the people holding jobs in their community</w:t>
      </w:r>
      <w:r w:rsidR="00D56F41" w:rsidRPr="00F70EFD">
        <w:rPr>
          <w:rFonts w:ascii="Segoe UI" w:hAnsi="Segoe UI" w:cs="Segoe UI"/>
          <w:spacing w:val="2"/>
          <w:sz w:val="20"/>
          <w:szCs w:val="18"/>
        </w:rPr>
        <w:t>. Actions to address a moderate-cost job/housing imbalance could include modifying the comprehensive plan to permit some single-family residences on smaller lots</w:t>
      </w:r>
      <w:r w:rsidR="00E52E2C" w:rsidRPr="00F70EFD">
        <w:rPr>
          <w:rFonts w:ascii="Segoe UI" w:hAnsi="Segoe UI" w:cs="Segoe UI"/>
          <w:spacing w:val="2"/>
          <w:sz w:val="20"/>
          <w:szCs w:val="18"/>
        </w:rPr>
        <w:t xml:space="preserve"> (1/4 acre or less) and of modest square footage</w:t>
      </w:r>
      <w:r w:rsidR="00D56F41" w:rsidRPr="00F70EFD">
        <w:rPr>
          <w:rFonts w:ascii="Segoe UI" w:hAnsi="Segoe UI" w:cs="Segoe UI"/>
          <w:spacing w:val="2"/>
          <w:sz w:val="20"/>
          <w:szCs w:val="18"/>
        </w:rPr>
        <w:t xml:space="preserve"> </w:t>
      </w:r>
      <w:r w:rsidR="00E52E2C" w:rsidRPr="00F70EFD">
        <w:rPr>
          <w:rFonts w:ascii="Segoe UI" w:hAnsi="Segoe UI" w:cs="Segoe UI"/>
          <w:spacing w:val="2"/>
          <w:sz w:val="20"/>
          <w:szCs w:val="18"/>
        </w:rPr>
        <w:t>(1,200 square feet). Actions to address a lower</w:t>
      </w:r>
      <w:r w:rsidR="00D92786" w:rsidRPr="00F70EFD">
        <w:rPr>
          <w:rFonts w:ascii="Segoe UI" w:hAnsi="Segoe UI" w:cs="Segoe UI"/>
          <w:spacing w:val="2"/>
          <w:sz w:val="20"/>
          <w:szCs w:val="18"/>
        </w:rPr>
        <w:t>-</w:t>
      </w:r>
      <w:r w:rsidR="00E52E2C" w:rsidRPr="00F70EFD">
        <w:rPr>
          <w:rFonts w:ascii="Segoe UI" w:hAnsi="Segoe UI" w:cs="Segoe UI"/>
          <w:spacing w:val="2"/>
          <w:sz w:val="20"/>
          <w:szCs w:val="18"/>
        </w:rPr>
        <w:t xml:space="preserve">cost job/housing imbalance could include modifying the comprehensive plan to permit some modest multi-family housing (density of about 10 housing units per acre and 800 </w:t>
      </w:r>
      <w:r w:rsidR="00D56F41" w:rsidRPr="00F70EFD">
        <w:rPr>
          <w:rFonts w:ascii="Segoe UI" w:hAnsi="Segoe UI" w:cs="Segoe UI"/>
          <w:spacing w:val="2"/>
          <w:sz w:val="20"/>
          <w:szCs w:val="18"/>
        </w:rPr>
        <w:t xml:space="preserve">to 850 </w:t>
      </w:r>
      <w:r w:rsidR="00E52E2C" w:rsidRPr="00F70EFD">
        <w:rPr>
          <w:rFonts w:ascii="Segoe UI" w:hAnsi="Segoe UI" w:cs="Segoe UI"/>
          <w:spacing w:val="2"/>
          <w:sz w:val="20"/>
          <w:szCs w:val="18"/>
        </w:rPr>
        <w:t>square feet per two bedroom apartment).</w:t>
      </w:r>
    </w:p>
    <w:p w14:paraId="6B06C3E7" w14:textId="77777777" w:rsidR="00852213" w:rsidRPr="00FC5A0C" w:rsidRDefault="00852213" w:rsidP="00F70EFD">
      <w:pPr>
        <w:jc w:val="both"/>
        <w:rPr>
          <w:rFonts w:ascii="Segoe UI" w:hAnsi="Segoe UI" w:cs="Segoe UI"/>
          <w:sz w:val="20"/>
          <w:szCs w:val="18"/>
        </w:rPr>
      </w:pPr>
    </w:p>
    <w:p w14:paraId="7D965DE4" w14:textId="77777777" w:rsidR="006975DB" w:rsidRPr="00FC5A0C" w:rsidRDefault="00D14747" w:rsidP="00F70EFD">
      <w:pPr>
        <w:jc w:val="both"/>
        <w:rPr>
          <w:rFonts w:ascii="Segoe UI" w:hAnsi="Segoe UI" w:cs="Segoe UI"/>
          <w:sz w:val="20"/>
          <w:szCs w:val="18"/>
        </w:rPr>
      </w:pPr>
      <w:r w:rsidRPr="00FC5A0C">
        <w:rPr>
          <w:rFonts w:ascii="Segoe UI" w:hAnsi="Segoe UI" w:cs="Segoe UI"/>
          <w:sz w:val="20"/>
          <w:szCs w:val="18"/>
        </w:rPr>
        <w:t>Additional information about the housing plan and the job/housing balance analysis is available on</w:t>
      </w:r>
      <w:r w:rsidR="00852213" w:rsidRPr="00FC5A0C">
        <w:rPr>
          <w:rFonts w:ascii="Segoe UI" w:hAnsi="Segoe UI" w:cs="Segoe UI"/>
          <w:sz w:val="20"/>
          <w:szCs w:val="18"/>
        </w:rPr>
        <w:t xml:space="preserve"> the SEWRPC website (</w:t>
      </w:r>
      <w:hyperlink r:id="rId6" w:history="1">
        <w:r w:rsidR="00852213" w:rsidRPr="00FC5A0C">
          <w:rPr>
            <w:rStyle w:val="Hyperlink"/>
            <w:rFonts w:ascii="Segoe UI" w:hAnsi="Segoe UI" w:cs="Segoe UI"/>
            <w:color w:val="auto"/>
            <w:sz w:val="20"/>
            <w:szCs w:val="18"/>
            <w:u w:val="none"/>
          </w:rPr>
          <w:t>www.sewrpc.org/sewrpc/housing.htm</w:t>
        </w:r>
      </w:hyperlink>
      <w:r w:rsidR="00852213" w:rsidRPr="00FC5A0C">
        <w:rPr>
          <w:rFonts w:ascii="Segoe UI" w:hAnsi="Segoe UI" w:cs="Segoe UI"/>
          <w:sz w:val="20"/>
          <w:szCs w:val="18"/>
        </w:rPr>
        <w:t>) or by contacting the SEWRPC staff.</w:t>
      </w:r>
    </w:p>
    <w:sectPr w:rsidR="006975DB" w:rsidRPr="00FC5A0C" w:rsidSect="004335B9">
      <w:headerReference w:type="first" r:id="rId7"/>
      <w:pgSz w:w="12240" w:h="15840" w:code="1"/>
      <w:pgMar w:top="1080" w:right="1440" w:bottom="1080" w:left="1440" w:header="90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F6EB" w14:textId="77777777" w:rsidR="005069CC" w:rsidRDefault="005069CC" w:rsidP="00FA3601">
      <w:r>
        <w:separator/>
      </w:r>
    </w:p>
  </w:endnote>
  <w:endnote w:type="continuationSeparator" w:id="0">
    <w:p w14:paraId="02412DFF" w14:textId="77777777" w:rsidR="005069CC" w:rsidRDefault="005069CC" w:rsidP="00FA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E81C" w14:textId="77777777" w:rsidR="005069CC" w:rsidRDefault="005069CC" w:rsidP="00FA3601">
      <w:r>
        <w:separator/>
      </w:r>
    </w:p>
  </w:footnote>
  <w:footnote w:type="continuationSeparator" w:id="0">
    <w:p w14:paraId="77D34947" w14:textId="77777777" w:rsidR="005069CC" w:rsidRDefault="005069CC" w:rsidP="00FA3601">
      <w:r>
        <w:continuationSeparator/>
      </w:r>
    </w:p>
  </w:footnote>
  <w:footnote w:id="1">
    <w:p w14:paraId="374018B3" w14:textId="5E26D642" w:rsidR="00B04F0C" w:rsidRPr="00C00877" w:rsidRDefault="00FA3601" w:rsidP="00F70EFD">
      <w:pPr>
        <w:pStyle w:val="FootnoteText"/>
        <w:spacing w:after="120"/>
        <w:jc w:val="both"/>
        <w:rPr>
          <w:i/>
          <w:sz w:val="18"/>
          <w:szCs w:val="18"/>
        </w:rPr>
      </w:pPr>
      <w:r w:rsidRPr="006F344C">
        <w:rPr>
          <w:rStyle w:val="FootnoteReference"/>
          <w:rFonts w:ascii="Segoe UI" w:hAnsi="Segoe UI" w:cs="Segoe UI"/>
          <w:i/>
          <w:iCs/>
          <w:sz w:val="18"/>
          <w:szCs w:val="18"/>
        </w:rPr>
        <w:footnoteRef/>
      </w:r>
      <w:r w:rsidRPr="006F344C">
        <w:rPr>
          <w:rFonts w:ascii="Segoe UI" w:hAnsi="Segoe UI" w:cs="Segoe UI"/>
          <w:i/>
          <w:iCs/>
        </w:rPr>
        <w:t xml:space="preserve"> </w:t>
      </w:r>
      <w:r w:rsidR="00B07BE0" w:rsidRPr="006F344C">
        <w:rPr>
          <w:rFonts w:ascii="Segoe UI" w:hAnsi="Segoe UI" w:cs="Segoe UI"/>
          <w:i/>
          <w:sz w:val="18"/>
          <w:szCs w:val="18"/>
        </w:rPr>
        <w:t xml:space="preserve">For purposes of the analysis, lower-cost housing generally includes multi-family dwellings and single- and two-family dwellings at densities of 6,000 square feet or less per dwelling unit; moderate-cost housing includes single- and two-family dwellings at densities </w:t>
      </w:r>
      <w:r w:rsidR="00C00877" w:rsidRPr="006F344C">
        <w:rPr>
          <w:rFonts w:ascii="Segoe UI" w:hAnsi="Segoe UI" w:cs="Segoe UI"/>
          <w:i/>
          <w:sz w:val="18"/>
          <w:szCs w:val="18"/>
        </w:rPr>
        <w:t>of</w:t>
      </w:r>
      <w:r w:rsidR="00B07BE0" w:rsidRPr="006F344C">
        <w:rPr>
          <w:rFonts w:ascii="Segoe UI" w:hAnsi="Segoe UI" w:cs="Segoe UI"/>
          <w:i/>
          <w:sz w:val="18"/>
          <w:szCs w:val="18"/>
        </w:rPr>
        <w:t xml:space="preserve"> one dwelling per 6,000 </w:t>
      </w:r>
      <w:r w:rsidR="00C00877" w:rsidRPr="006F344C">
        <w:rPr>
          <w:rFonts w:ascii="Segoe UI" w:hAnsi="Segoe UI" w:cs="Segoe UI"/>
          <w:i/>
          <w:sz w:val="18"/>
          <w:szCs w:val="18"/>
        </w:rPr>
        <w:t xml:space="preserve">to 20,000 square feet for homes constructed prior to 2000 and </w:t>
      </w:r>
      <w:r w:rsidR="00304F59" w:rsidRPr="006F344C">
        <w:rPr>
          <w:rFonts w:ascii="Segoe UI" w:hAnsi="Segoe UI" w:cs="Segoe UI"/>
          <w:i/>
          <w:sz w:val="18"/>
          <w:szCs w:val="18"/>
        </w:rPr>
        <w:t>at</w:t>
      </w:r>
      <w:r w:rsidR="00C00877" w:rsidRPr="006F344C">
        <w:rPr>
          <w:rFonts w:ascii="Segoe UI" w:hAnsi="Segoe UI" w:cs="Segoe UI"/>
          <w:i/>
          <w:sz w:val="18"/>
          <w:szCs w:val="18"/>
        </w:rPr>
        <w:t xml:space="preserve"> densities of one dwelling per 6,000 to 10,000 square feet for housi</w:t>
      </w:r>
      <w:r w:rsidR="00A91260" w:rsidRPr="006F344C">
        <w:rPr>
          <w:rFonts w:ascii="Segoe UI" w:hAnsi="Segoe UI" w:cs="Segoe UI"/>
          <w:i/>
          <w:sz w:val="18"/>
          <w:szCs w:val="18"/>
        </w:rPr>
        <w:t>ng constructed after</w:t>
      </w:r>
      <w:r w:rsidR="00D53CE9" w:rsidRPr="006F344C">
        <w:rPr>
          <w:rFonts w:ascii="Segoe UI" w:hAnsi="Segoe UI" w:cs="Segoe UI"/>
          <w:i/>
          <w:sz w:val="18"/>
          <w:szCs w:val="18"/>
        </w:rPr>
        <w:t xml:space="preserve"> </w:t>
      </w:r>
      <w:r w:rsidR="00304F59" w:rsidRPr="006F344C">
        <w:rPr>
          <w:rFonts w:ascii="Segoe UI" w:hAnsi="Segoe UI" w:cs="Segoe UI"/>
          <w:i/>
          <w:sz w:val="18"/>
          <w:szCs w:val="18"/>
        </w:rPr>
        <w:t>2000</w:t>
      </w:r>
      <w:r w:rsidR="00A91260" w:rsidRPr="006F344C">
        <w:rPr>
          <w:rFonts w:ascii="Segoe UI" w:hAnsi="Segoe UI" w:cs="Segoe UI"/>
          <w:i/>
          <w:sz w:val="18"/>
          <w:szCs w:val="18"/>
        </w:rPr>
        <w:t>; and higher-cost housing includes the balance</w:t>
      </w:r>
      <w:r w:rsidR="00304F59" w:rsidRPr="006F344C">
        <w:rPr>
          <w:rFonts w:ascii="Segoe UI" w:hAnsi="Segoe UI" w:cs="Segoe UI"/>
          <w:i/>
          <w:sz w:val="18"/>
          <w:szCs w:val="18"/>
        </w:rPr>
        <w:t xml:space="preserve"> of the housing stock</w:t>
      </w:r>
      <w:r w:rsidR="00A91260" w:rsidRPr="006F344C">
        <w:rPr>
          <w:rFonts w:ascii="Segoe UI" w:hAnsi="Segoe UI" w:cs="Segoe UI"/>
          <w:i/>
          <w:sz w:val="18"/>
          <w:szCs w:val="18"/>
        </w:rPr>
        <w:t>.</w:t>
      </w:r>
    </w:p>
  </w:footnote>
  <w:footnote w:id="2">
    <w:p w14:paraId="31006D2F" w14:textId="77777777" w:rsidR="00FA3601" w:rsidRPr="006F344C" w:rsidRDefault="00FA3601" w:rsidP="00F70EFD">
      <w:pPr>
        <w:pStyle w:val="FootnoteText"/>
        <w:spacing w:after="120"/>
        <w:jc w:val="both"/>
        <w:rPr>
          <w:rFonts w:ascii="Segoe UI" w:hAnsi="Segoe UI" w:cs="Segoe UI"/>
          <w:i/>
          <w:sz w:val="18"/>
          <w:szCs w:val="18"/>
        </w:rPr>
      </w:pPr>
      <w:r w:rsidRPr="006F344C">
        <w:rPr>
          <w:rStyle w:val="FootnoteReference"/>
          <w:rFonts w:ascii="Segoe UI" w:hAnsi="Segoe UI" w:cs="Segoe UI"/>
          <w:i/>
          <w:iCs/>
          <w:sz w:val="18"/>
          <w:szCs w:val="18"/>
        </w:rPr>
        <w:footnoteRef/>
      </w:r>
      <w:r w:rsidRPr="006F344C">
        <w:rPr>
          <w:rFonts w:ascii="Segoe UI" w:hAnsi="Segoe UI" w:cs="Segoe UI"/>
          <w:i/>
          <w:iCs/>
        </w:rPr>
        <w:t xml:space="preserve"> </w:t>
      </w:r>
      <w:r w:rsidR="00C00877" w:rsidRPr="006F344C">
        <w:rPr>
          <w:rFonts w:ascii="Segoe UI" w:hAnsi="Segoe UI" w:cs="Segoe UI"/>
          <w:i/>
          <w:sz w:val="18"/>
          <w:szCs w:val="18"/>
        </w:rPr>
        <w:t>For purposes of the analysis, lower-wage jobs include those with an average annual wage that is 80 percent or less than the average annual wage for all</w:t>
      </w:r>
      <w:r w:rsidR="00A91260" w:rsidRPr="006F344C">
        <w:rPr>
          <w:rFonts w:ascii="Segoe UI" w:hAnsi="Segoe UI" w:cs="Segoe UI"/>
          <w:i/>
          <w:sz w:val="18"/>
          <w:szCs w:val="18"/>
        </w:rPr>
        <w:t xml:space="preserve"> </w:t>
      </w:r>
      <w:r w:rsidR="00C00877" w:rsidRPr="006F344C">
        <w:rPr>
          <w:rFonts w:ascii="Segoe UI" w:hAnsi="Segoe UI" w:cs="Segoe UI"/>
          <w:i/>
          <w:sz w:val="18"/>
          <w:szCs w:val="18"/>
        </w:rPr>
        <w:t>jo</w:t>
      </w:r>
      <w:r w:rsidR="00A91260" w:rsidRPr="006F344C">
        <w:rPr>
          <w:rFonts w:ascii="Segoe UI" w:hAnsi="Segoe UI" w:cs="Segoe UI"/>
          <w:i/>
          <w:sz w:val="18"/>
          <w:szCs w:val="18"/>
        </w:rPr>
        <w:t>b</w:t>
      </w:r>
      <w:r w:rsidR="00C00877" w:rsidRPr="006F344C">
        <w:rPr>
          <w:rFonts w:ascii="Segoe UI" w:hAnsi="Segoe UI" w:cs="Segoe UI"/>
          <w:i/>
          <w:sz w:val="18"/>
          <w:szCs w:val="18"/>
        </w:rPr>
        <w:t xml:space="preserve">s in the </w:t>
      </w:r>
      <w:r w:rsidR="00D84922" w:rsidRPr="006F344C">
        <w:rPr>
          <w:rFonts w:ascii="Segoe UI" w:hAnsi="Segoe UI" w:cs="Segoe UI"/>
          <w:i/>
          <w:sz w:val="18"/>
          <w:szCs w:val="18"/>
        </w:rPr>
        <w:t>c</w:t>
      </w:r>
      <w:r w:rsidR="00C00877" w:rsidRPr="006F344C">
        <w:rPr>
          <w:rFonts w:ascii="Segoe UI" w:hAnsi="Segoe UI" w:cs="Segoe UI"/>
          <w:i/>
          <w:sz w:val="18"/>
          <w:szCs w:val="18"/>
        </w:rPr>
        <w:t>ounty; moderate-wage jobs inc</w:t>
      </w:r>
      <w:r w:rsidR="00A91260" w:rsidRPr="006F344C">
        <w:rPr>
          <w:rFonts w:ascii="Segoe UI" w:hAnsi="Segoe UI" w:cs="Segoe UI"/>
          <w:i/>
          <w:sz w:val="18"/>
          <w:szCs w:val="18"/>
        </w:rPr>
        <w:t>lude</w:t>
      </w:r>
      <w:r w:rsidR="00C00877" w:rsidRPr="006F344C">
        <w:rPr>
          <w:rFonts w:ascii="Segoe UI" w:hAnsi="Segoe UI" w:cs="Segoe UI"/>
          <w:i/>
          <w:sz w:val="18"/>
          <w:szCs w:val="18"/>
        </w:rPr>
        <w:t xml:space="preserve"> those with an average an</w:t>
      </w:r>
      <w:r w:rsidR="00A91260" w:rsidRPr="006F344C">
        <w:rPr>
          <w:rFonts w:ascii="Segoe UI" w:hAnsi="Segoe UI" w:cs="Segoe UI"/>
          <w:i/>
          <w:sz w:val="18"/>
          <w:szCs w:val="18"/>
        </w:rPr>
        <w:t>nual</w:t>
      </w:r>
      <w:r w:rsidR="00C00877" w:rsidRPr="006F344C">
        <w:rPr>
          <w:rFonts w:ascii="Segoe UI" w:hAnsi="Segoe UI" w:cs="Segoe UI"/>
          <w:i/>
          <w:sz w:val="18"/>
          <w:szCs w:val="18"/>
        </w:rPr>
        <w:t xml:space="preserve"> wage between 80 percent and 135 percent of average annual wage for all jobs in the </w:t>
      </w:r>
      <w:r w:rsidR="00D84922" w:rsidRPr="006F344C">
        <w:rPr>
          <w:rFonts w:ascii="Segoe UI" w:hAnsi="Segoe UI" w:cs="Segoe UI"/>
          <w:i/>
          <w:sz w:val="18"/>
          <w:szCs w:val="18"/>
        </w:rPr>
        <w:t>c</w:t>
      </w:r>
      <w:r w:rsidR="00C00877" w:rsidRPr="006F344C">
        <w:rPr>
          <w:rFonts w:ascii="Segoe UI" w:hAnsi="Segoe UI" w:cs="Segoe UI"/>
          <w:i/>
          <w:sz w:val="18"/>
          <w:szCs w:val="18"/>
        </w:rPr>
        <w:t>ounty</w:t>
      </w:r>
      <w:r w:rsidR="00A91260" w:rsidRPr="006F344C">
        <w:rPr>
          <w:rFonts w:ascii="Segoe UI" w:hAnsi="Segoe UI" w:cs="Segoe UI"/>
          <w:i/>
          <w:sz w:val="18"/>
          <w:szCs w:val="18"/>
        </w:rPr>
        <w:t>; and higher-wage jobs include those</w:t>
      </w:r>
      <w:r w:rsidR="0086164D" w:rsidRPr="006F344C">
        <w:rPr>
          <w:rFonts w:ascii="Segoe UI" w:hAnsi="Segoe UI" w:cs="Segoe UI"/>
          <w:i/>
          <w:sz w:val="18"/>
          <w:szCs w:val="18"/>
        </w:rPr>
        <w:t xml:space="preserve"> with an average annual wage that is 135 percent or more of the annual average wage for all jobs in the county.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B75B" w14:textId="3B676257" w:rsidR="00846330" w:rsidRDefault="00846330" w:rsidP="00846330">
    <w:pPr>
      <w:jc w:val="both"/>
      <w:rPr>
        <w:rFonts w:ascii="Segoe UI" w:hAnsi="Segoe UI" w:cs="Segoe UI"/>
        <w:sz w:val="16"/>
        <w:szCs w:val="16"/>
      </w:rPr>
    </w:pPr>
    <w:r w:rsidRPr="00593EBD">
      <w:rPr>
        <w:rFonts w:ascii="Segoe UI" w:hAnsi="Segoe UI" w:cs="Segoe UI"/>
        <w:sz w:val="16"/>
        <w:szCs w:val="16"/>
      </w:rPr>
      <w:t>#26</w:t>
    </w:r>
    <w:r w:rsidR="00C67C0A">
      <w:rPr>
        <w:rFonts w:ascii="Segoe UI" w:hAnsi="Segoe UI" w:cs="Segoe UI"/>
        <w:sz w:val="16"/>
        <w:szCs w:val="16"/>
      </w:rPr>
      <w:t>8020</w:t>
    </w:r>
    <w:r w:rsidRPr="00593EBD">
      <w:rPr>
        <w:rFonts w:ascii="Segoe UI" w:hAnsi="Segoe UI" w:cs="Segoe UI"/>
        <w:sz w:val="16"/>
        <w:szCs w:val="16"/>
      </w:rPr>
      <w:t xml:space="preserve"> – </w:t>
    </w:r>
    <w:r>
      <w:rPr>
        <w:rFonts w:ascii="Segoe UI" w:hAnsi="Segoe UI" w:cs="Segoe UI"/>
        <w:sz w:val="16"/>
        <w:szCs w:val="16"/>
      </w:rPr>
      <w:t xml:space="preserve">Housing Appendix </w:t>
    </w:r>
    <w:r w:rsidRPr="00593EBD">
      <w:rPr>
        <w:rFonts w:ascii="Segoe UI" w:hAnsi="Segoe UI" w:cs="Segoe UI"/>
        <w:sz w:val="16"/>
        <w:szCs w:val="16"/>
      </w:rPr>
      <w:t>Text</w:t>
    </w:r>
    <w:r>
      <w:rPr>
        <w:rFonts w:ascii="Segoe UI" w:hAnsi="Segoe UI" w:cs="Segoe UI"/>
        <w:sz w:val="16"/>
        <w:szCs w:val="16"/>
      </w:rPr>
      <w:t xml:space="preserve"> </w:t>
    </w:r>
    <w:r w:rsidR="00C67C0A">
      <w:rPr>
        <w:rFonts w:ascii="Segoe UI" w:hAnsi="Segoe UI" w:cs="Segoe UI"/>
        <w:sz w:val="16"/>
        <w:szCs w:val="16"/>
      </w:rPr>
      <w:t>Germantown</w:t>
    </w:r>
    <w:r>
      <w:rPr>
        <w:rFonts w:ascii="Segoe UI" w:hAnsi="Segoe UI" w:cs="Segoe UI"/>
        <w:sz w:val="16"/>
        <w:szCs w:val="16"/>
      </w:rPr>
      <w:t xml:space="preserve"> SSA June 202</w:t>
    </w:r>
    <w:r w:rsidR="00C67C0A">
      <w:rPr>
        <w:rFonts w:ascii="Segoe UI" w:hAnsi="Segoe UI" w:cs="Segoe UI"/>
        <w:sz w:val="16"/>
        <w:szCs w:val="16"/>
      </w:rPr>
      <w:t>3</w:t>
    </w:r>
  </w:p>
  <w:p w14:paraId="3DEECD4F" w14:textId="0311B8B8" w:rsidR="00846330" w:rsidRDefault="00846330" w:rsidP="00846330">
    <w:pPr>
      <w:jc w:val="both"/>
      <w:rPr>
        <w:rFonts w:ascii="Segoe UI" w:hAnsi="Segoe UI" w:cs="Segoe UI"/>
        <w:sz w:val="16"/>
        <w:szCs w:val="16"/>
      </w:rPr>
    </w:pPr>
    <w:r>
      <w:rPr>
        <w:rFonts w:ascii="Segoe UI" w:hAnsi="Segoe UI" w:cs="Segoe UI"/>
        <w:sz w:val="16"/>
        <w:szCs w:val="16"/>
      </w:rPr>
      <w:t>300-3000</w:t>
    </w:r>
  </w:p>
  <w:p w14:paraId="00D2F6C7" w14:textId="52B10C88" w:rsidR="00846330" w:rsidRPr="00593EBD" w:rsidRDefault="00846330" w:rsidP="00846330">
    <w:pPr>
      <w:jc w:val="both"/>
      <w:rPr>
        <w:rFonts w:ascii="Segoe UI" w:hAnsi="Segoe UI" w:cs="Segoe UI"/>
        <w:sz w:val="16"/>
        <w:szCs w:val="16"/>
      </w:rPr>
    </w:pPr>
    <w:r w:rsidRPr="00593EBD">
      <w:rPr>
        <w:rFonts w:ascii="Segoe UI" w:hAnsi="Segoe UI" w:cs="Segoe UI"/>
        <w:sz w:val="16"/>
        <w:szCs w:val="16"/>
      </w:rPr>
      <w:t>JED</w:t>
    </w:r>
  </w:p>
  <w:p w14:paraId="3851E62B" w14:textId="719DA946" w:rsidR="00846330" w:rsidRDefault="00C67C0A" w:rsidP="00846330">
    <w:pPr>
      <w:jc w:val="both"/>
      <w:rPr>
        <w:rFonts w:ascii="Segoe UI" w:hAnsi="Segoe UI" w:cs="Segoe UI"/>
        <w:sz w:val="16"/>
        <w:szCs w:val="16"/>
      </w:rPr>
    </w:pPr>
    <w:r>
      <w:rPr>
        <w:rFonts w:ascii="Segoe UI" w:hAnsi="Segoe UI" w:cs="Segoe UI"/>
        <w:sz w:val="16"/>
        <w:szCs w:val="16"/>
      </w:rPr>
      <w:t>4/26/23</w:t>
    </w:r>
  </w:p>
  <w:p w14:paraId="5EF412E2" w14:textId="548541F1" w:rsidR="00846330" w:rsidRDefault="00846330" w:rsidP="00846330">
    <w:pPr>
      <w:jc w:val="both"/>
      <w:rPr>
        <w:rFonts w:ascii="Segoe UI" w:hAnsi="Segoe UI" w:cs="Segoe UI"/>
        <w:sz w:val="16"/>
        <w:szCs w:val="16"/>
      </w:rPr>
    </w:pPr>
  </w:p>
  <w:p w14:paraId="173F8C3A" w14:textId="77777777" w:rsidR="00846330" w:rsidRPr="00593EBD" w:rsidRDefault="00846330" w:rsidP="00846330">
    <w:pPr>
      <w:jc w:val="both"/>
      <w:rPr>
        <w:rFonts w:ascii="Segoe UI" w:hAnsi="Segoe UI" w:cs="Segoe U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EC5"/>
    <w:rsid w:val="00022042"/>
    <w:rsid w:val="00036F67"/>
    <w:rsid w:val="00053EDD"/>
    <w:rsid w:val="000830D8"/>
    <w:rsid w:val="00094CB1"/>
    <w:rsid w:val="000A58E9"/>
    <w:rsid w:val="000D7AF9"/>
    <w:rsid w:val="001066BD"/>
    <w:rsid w:val="00120F8D"/>
    <w:rsid w:val="00184DB0"/>
    <w:rsid w:val="0019001C"/>
    <w:rsid w:val="001977AF"/>
    <w:rsid w:val="001A6127"/>
    <w:rsid w:val="001B24A5"/>
    <w:rsid w:val="001C66F3"/>
    <w:rsid w:val="001F5063"/>
    <w:rsid w:val="00213249"/>
    <w:rsid w:val="0021662D"/>
    <w:rsid w:val="002249FA"/>
    <w:rsid w:val="00225A13"/>
    <w:rsid w:val="00230DA4"/>
    <w:rsid w:val="002329D4"/>
    <w:rsid w:val="00254043"/>
    <w:rsid w:val="00271F53"/>
    <w:rsid w:val="002A5DFE"/>
    <w:rsid w:val="002A791C"/>
    <w:rsid w:val="002B069B"/>
    <w:rsid w:val="002D775C"/>
    <w:rsid w:val="002E1585"/>
    <w:rsid w:val="00304F59"/>
    <w:rsid w:val="0032232D"/>
    <w:rsid w:val="0033419A"/>
    <w:rsid w:val="003416EE"/>
    <w:rsid w:val="00362AC8"/>
    <w:rsid w:val="00384D06"/>
    <w:rsid w:val="003B6AE6"/>
    <w:rsid w:val="003C3086"/>
    <w:rsid w:val="004058C4"/>
    <w:rsid w:val="004335B9"/>
    <w:rsid w:val="00475D5F"/>
    <w:rsid w:val="004A5CEF"/>
    <w:rsid w:val="004A682F"/>
    <w:rsid w:val="004B3CD2"/>
    <w:rsid w:val="004B5982"/>
    <w:rsid w:val="004C62C7"/>
    <w:rsid w:val="004E7F9C"/>
    <w:rsid w:val="004F6A53"/>
    <w:rsid w:val="005069CC"/>
    <w:rsid w:val="00507D32"/>
    <w:rsid w:val="00516AF1"/>
    <w:rsid w:val="005327D8"/>
    <w:rsid w:val="00535249"/>
    <w:rsid w:val="00572640"/>
    <w:rsid w:val="00577B57"/>
    <w:rsid w:val="00591543"/>
    <w:rsid w:val="00596D58"/>
    <w:rsid w:val="005B388B"/>
    <w:rsid w:val="005E178E"/>
    <w:rsid w:val="005E2813"/>
    <w:rsid w:val="005E3546"/>
    <w:rsid w:val="005F2BB4"/>
    <w:rsid w:val="006030EF"/>
    <w:rsid w:val="00604DA1"/>
    <w:rsid w:val="00607630"/>
    <w:rsid w:val="006144F9"/>
    <w:rsid w:val="00654631"/>
    <w:rsid w:val="006767D2"/>
    <w:rsid w:val="00680189"/>
    <w:rsid w:val="00681F62"/>
    <w:rsid w:val="006975DB"/>
    <w:rsid w:val="006A2920"/>
    <w:rsid w:val="006D6B95"/>
    <w:rsid w:val="006F344C"/>
    <w:rsid w:val="0073068A"/>
    <w:rsid w:val="00732EF4"/>
    <w:rsid w:val="00734124"/>
    <w:rsid w:val="00746045"/>
    <w:rsid w:val="007503D2"/>
    <w:rsid w:val="00763DAE"/>
    <w:rsid w:val="0079656E"/>
    <w:rsid w:val="00846330"/>
    <w:rsid w:val="00852213"/>
    <w:rsid w:val="0086164D"/>
    <w:rsid w:val="00881CC2"/>
    <w:rsid w:val="00882F93"/>
    <w:rsid w:val="008A2184"/>
    <w:rsid w:val="008B0904"/>
    <w:rsid w:val="008C46D9"/>
    <w:rsid w:val="00900F3F"/>
    <w:rsid w:val="00916947"/>
    <w:rsid w:val="00932052"/>
    <w:rsid w:val="00983747"/>
    <w:rsid w:val="009A387B"/>
    <w:rsid w:val="009A5911"/>
    <w:rsid w:val="009C6151"/>
    <w:rsid w:val="009E151E"/>
    <w:rsid w:val="009E48F6"/>
    <w:rsid w:val="00A14DF8"/>
    <w:rsid w:val="00A2483E"/>
    <w:rsid w:val="00A30CFA"/>
    <w:rsid w:val="00A4173F"/>
    <w:rsid w:val="00A465BA"/>
    <w:rsid w:val="00A604FC"/>
    <w:rsid w:val="00A7262F"/>
    <w:rsid w:val="00A91260"/>
    <w:rsid w:val="00AC64F5"/>
    <w:rsid w:val="00B04F0C"/>
    <w:rsid w:val="00B07BE0"/>
    <w:rsid w:val="00B3713B"/>
    <w:rsid w:val="00B927FE"/>
    <w:rsid w:val="00BA37E9"/>
    <w:rsid w:val="00BF78E1"/>
    <w:rsid w:val="00C00877"/>
    <w:rsid w:val="00C67C0A"/>
    <w:rsid w:val="00C8426E"/>
    <w:rsid w:val="00CA6887"/>
    <w:rsid w:val="00CD3C95"/>
    <w:rsid w:val="00D14747"/>
    <w:rsid w:val="00D33574"/>
    <w:rsid w:val="00D53CE9"/>
    <w:rsid w:val="00D56F41"/>
    <w:rsid w:val="00D84922"/>
    <w:rsid w:val="00D9017C"/>
    <w:rsid w:val="00D92786"/>
    <w:rsid w:val="00D95EC5"/>
    <w:rsid w:val="00DB21A0"/>
    <w:rsid w:val="00DC3320"/>
    <w:rsid w:val="00DD2F25"/>
    <w:rsid w:val="00DE43A9"/>
    <w:rsid w:val="00DF4CAA"/>
    <w:rsid w:val="00E52E2C"/>
    <w:rsid w:val="00E71BC5"/>
    <w:rsid w:val="00EA5D9C"/>
    <w:rsid w:val="00EE7220"/>
    <w:rsid w:val="00F333CE"/>
    <w:rsid w:val="00F70B17"/>
    <w:rsid w:val="00F70EFD"/>
    <w:rsid w:val="00FA3601"/>
    <w:rsid w:val="00FB0496"/>
    <w:rsid w:val="00FB7067"/>
    <w:rsid w:val="00FC1A15"/>
    <w:rsid w:val="00FC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6A72"/>
  <w15:chartTrackingRefBased/>
  <w15:docId w15:val="{F945E909-10D3-4E78-9228-9272ACB3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3601"/>
    <w:rPr>
      <w:sz w:val="20"/>
    </w:rPr>
  </w:style>
  <w:style w:type="character" w:customStyle="1" w:styleId="FootnoteTextChar">
    <w:name w:val="Footnote Text Char"/>
    <w:basedOn w:val="DefaultParagraphFont"/>
    <w:link w:val="FootnoteText"/>
    <w:uiPriority w:val="99"/>
    <w:semiHidden/>
    <w:rsid w:val="00FA3601"/>
  </w:style>
  <w:style w:type="character" w:styleId="FootnoteReference">
    <w:name w:val="footnote reference"/>
    <w:uiPriority w:val="99"/>
    <w:semiHidden/>
    <w:unhideWhenUsed/>
    <w:rsid w:val="00FA3601"/>
    <w:rPr>
      <w:vertAlign w:val="superscript"/>
    </w:rPr>
  </w:style>
  <w:style w:type="character" w:styleId="Hyperlink">
    <w:name w:val="Hyperlink"/>
    <w:uiPriority w:val="99"/>
    <w:unhideWhenUsed/>
    <w:rsid w:val="00852213"/>
    <w:rPr>
      <w:color w:val="0000FF"/>
      <w:u w:val="single"/>
    </w:rPr>
  </w:style>
  <w:style w:type="paragraph" w:styleId="Header">
    <w:name w:val="header"/>
    <w:basedOn w:val="Normal"/>
    <w:link w:val="HeaderChar"/>
    <w:uiPriority w:val="99"/>
    <w:unhideWhenUsed/>
    <w:rsid w:val="008A2184"/>
    <w:pPr>
      <w:tabs>
        <w:tab w:val="center" w:pos="4680"/>
        <w:tab w:val="right" w:pos="9360"/>
      </w:tabs>
    </w:pPr>
  </w:style>
  <w:style w:type="character" w:customStyle="1" w:styleId="HeaderChar">
    <w:name w:val="Header Char"/>
    <w:link w:val="Header"/>
    <w:uiPriority w:val="99"/>
    <w:rsid w:val="008A2184"/>
    <w:rPr>
      <w:sz w:val="22"/>
    </w:rPr>
  </w:style>
  <w:style w:type="paragraph" w:styleId="Footer">
    <w:name w:val="footer"/>
    <w:basedOn w:val="Normal"/>
    <w:link w:val="FooterChar"/>
    <w:uiPriority w:val="99"/>
    <w:unhideWhenUsed/>
    <w:rsid w:val="008A2184"/>
    <w:pPr>
      <w:tabs>
        <w:tab w:val="center" w:pos="4680"/>
        <w:tab w:val="right" w:pos="9360"/>
      </w:tabs>
    </w:pPr>
  </w:style>
  <w:style w:type="character" w:customStyle="1" w:styleId="FooterChar">
    <w:name w:val="Footer Char"/>
    <w:link w:val="Footer"/>
    <w:uiPriority w:val="99"/>
    <w:rsid w:val="008A2184"/>
    <w:rPr>
      <w:sz w:val="22"/>
    </w:rPr>
  </w:style>
  <w:style w:type="paragraph" w:styleId="BalloonText">
    <w:name w:val="Balloon Text"/>
    <w:basedOn w:val="Normal"/>
    <w:link w:val="BalloonTextChar"/>
    <w:uiPriority w:val="99"/>
    <w:semiHidden/>
    <w:unhideWhenUsed/>
    <w:rsid w:val="002E1585"/>
    <w:rPr>
      <w:rFonts w:ascii="Segoe UI" w:hAnsi="Segoe UI" w:cs="Segoe UI"/>
      <w:sz w:val="18"/>
      <w:szCs w:val="18"/>
    </w:rPr>
  </w:style>
  <w:style w:type="character" w:customStyle="1" w:styleId="BalloonTextChar">
    <w:name w:val="Balloon Text Char"/>
    <w:link w:val="BalloonText"/>
    <w:uiPriority w:val="99"/>
    <w:semiHidden/>
    <w:rsid w:val="002E1585"/>
    <w:rPr>
      <w:rFonts w:ascii="Segoe UI" w:hAnsi="Segoe UI" w:cs="Segoe UI"/>
      <w:sz w:val="18"/>
      <w:szCs w:val="18"/>
    </w:rPr>
  </w:style>
  <w:style w:type="paragraph" w:styleId="Revision">
    <w:name w:val="Revision"/>
    <w:hidden/>
    <w:uiPriority w:val="99"/>
    <w:semiHidden/>
    <w:rsid w:val="00507D3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wrpc.org/sewrpc/housing.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486</Words>
  <Characters>2983</Characters>
  <Application>Microsoft Office Word</Application>
  <DocSecurity>0</DocSecurity>
  <PresentationFormat>15|.DOCX</PresentationFormat>
  <Lines>47</Lines>
  <Paragraphs>8</Paragraphs>
  <ScaleCrop>false</ScaleCrop>
  <HeadingPairs>
    <vt:vector size="2" baseType="variant">
      <vt:variant>
        <vt:lpstr>Title</vt:lpstr>
      </vt:variant>
      <vt:variant>
        <vt:i4>1</vt:i4>
      </vt:variant>
    </vt:vector>
  </HeadingPairs>
  <TitlesOfParts>
    <vt:vector size="1" baseType="lpstr">
      <vt:lpstr>Housing Appendix Text_Mequon_SSA_June 2022 (00263585).DOCX</vt:lpstr>
    </vt:vector>
  </TitlesOfParts>
  <Company/>
  <LinksUpToDate>false</LinksUpToDate>
  <CharactersWithSpaces>3461</CharactersWithSpaces>
  <SharedDoc>false</SharedDoc>
  <HLinks>
    <vt:vector size="6" baseType="variant">
      <vt:variant>
        <vt:i4>5111903</vt:i4>
      </vt:variant>
      <vt:variant>
        <vt:i4>0</vt:i4>
      </vt:variant>
      <vt:variant>
        <vt:i4>0</vt:i4>
      </vt:variant>
      <vt:variant>
        <vt:i4>5</vt:i4>
      </vt:variant>
      <vt:variant>
        <vt:lpwstr>http://www.sewrpc.org/sewrpc/housing.htm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Appendix Text_Germantown_SSA_June 2023 (00268020).DOCX</dc:title>
  <dc:subject>#00219640 V-1</dc:subject>
  <dc:creator>Stauber, William J.</dc:creator>
  <cp:keywords/>
  <dc:description/>
  <cp:lastModifiedBy>Dietl, Joel E.</cp:lastModifiedBy>
  <cp:revision>4</cp:revision>
  <cp:lastPrinted>2018-01-25T16:54:00Z</cp:lastPrinted>
  <dcterms:created xsi:type="dcterms:W3CDTF">2023-04-26T20:57:00Z</dcterms:created>
  <dcterms:modified xsi:type="dcterms:W3CDTF">2023-04-26T21:01:00Z</dcterms:modified>
</cp:coreProperties>
</file>